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3C" w:rsidRDefault="003B773C">
      <w:pPr>
        <w:rPr>
          <w:rFonts w:hint="eastAsia"/>
        </w:rPr>
      </w:pPr>
    </w:p>
    <w:p w:rsidR="003B773C" w:rsidRPr="003B773C" w:rsidRDefault="003B773C">
      <w:pPr>
        <w:rPr>
          <w:rFonts w:ascii="微軟正黑體" w:eastAsia="微軟正黑體" w:hAnsi="微軟正黑體" w:hint="eastAsia"/>
          <w:b/>
          <w:sz w:val="32"/>
          <w:szCs w:val="32"/>
        </w:rPr>
      </w:pPr>
      <w:r w:rsidRPr="003B773C">
        <w:rPr>
          <w:rFonts w:ascii="微軟正黑體" w:eastAsia="微軟正黑體" w:hAnsi="微軟正黑體" w:hint="eastAsia"/>
          <w:b/>
          <w:sz w:val="32"/>
          <w:szCs w:val="32"/>
        </w:rPr>
        <w:t>危害性化學品分級管理辦法</w:t>
      </w:r>
    </w:p>
    <w:p w:rsidR="003B773C" w:rsidRDefault="003B773C"/>
    <w:tbl>
      <w:tblPr>
        <w:tblW w:w="5000" w:type="pct"/>
        <w:jc w:val="center"/>
        <w:tblCellSpacing w:w="12" w:type="dxa"/>
        <w:shd w:val="clear" w:color="auto" w:fill="E8F5D3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84"/>
        <w:gridCol w:w="7118"/>
      </w:tblGrid>
      <w:tr w:rsidR="003B773C" w:rsidRPr="003B773C" w:rsidTr="003B773C">
        <w:trPr>
          <w:tblCellSpacing w:w="12" w:type="dxa"/>
          <w:jc w:val="center"/>
        </w:trPr>
        <w:tc>
          <w:tcPr>
            <w:tcW w:w="743" w:type="pct"/>
            <w:shd w:val="clear" w:color="auto" w:fill="E8F5D3"/>
            <w:noWrap/>
            <w:hideMark/>
          </w:tcPr>
          <w:p w:rsidR="003B773C" w:rsidRPr="003B773C" w:rsidRDefault="003B773C" w:rsidP="003B773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5" w:history="1"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第</w:t>
              </w:r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 xml:space="preserve">    1    </w:t>
              </w:r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條</w:t>
              </w:r>
            </w:hyperlink>
          </w:p>
        </w:tc>
        <w:tc>
          <w:tcPr>
            <w:tcW w:w="4214" w:type="pct"/>
            <w:shd w:val="clear" w:color="auto" w:fill="E8F5D3"/>
            <w:hideMark/>
          </w:tcPr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 w:val="18"/>
                <w:szCs w:val="18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本辦法依職業安全衛生法第十一條第二項規定訂定之。</w:t>
            </w:r>
          </w:p>
        </w:tc>
      </w:tr>
      <w:tr w:rsidR="003B773C" w:rsidRPr="003B773C" w:rsidTr="003B773C">
        <w:trPr>
          <w:tblCellSpacing w:w="12" w:type="dxa"/>
          <w:jc w:val="center"/>
        </w:trPr>
        <w:tc>
          <w:tcPr>
            <w:tcW w:w="743" w:type="pct"/>
            <w:shd w:val="clear" w:color="auto" w:fill="E8F5D3"/>
            <w:noWrap/>
            <w:hideMark/>
          </w:tcPr>
          <w:p w:rsidR="003B773C" w:rsidRPr="003B773C" w:rsidRDefault="003B773C" w:rsidP="003B773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6" w:history="1"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第</w:t>
              </w:r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 xml:space="preserve">    2    </w:t>
              </w:r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條</w:t>
              </w:r>
            </w:hyperlink>
          </w:p>
        </w:tc>
        <w:tc>
          <w:tcPr>
            <w:tcW w:w="4214" w:type="pct"/>
            <w:shd w:val="clear" w:color="auto" w:fill="E8F5D3"/>
            <w:hideMark/>
          </w:tcPr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本辦法用詞，定義如下：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一、暴露評估：指以定性、半定量或定量之方法，評量或估算勞工暴露於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 xml:space="preserve">    化學品之健康危害情形。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二、分級管理：指依化學品健康危害及暴露評估結果評定風險等級，並分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 w:val="18"/>
                <w:szCs w:val="18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 xml:space="preserve">    級採取對應之控制或管理措施。</w:t>
            </w:r>
          </w:p>
        </w:tc>
      </w:tr>
      <w:tr w:rsidR="003B773C" w:rsidRPr="003B773C" w:rsidTr="003B773C">
        <w:trPr>
          <w:tblCellSpacing w:w="12" w:type="dxa"/>
          <w:jc w:val="center"/>
        </w:trPr>
        <w:tc>
          <w:tcPr>
            <w:tcW w:w="743" w:type="pct"/>
            <w:shd w:val="clear" w:color="auto" w:fill="E8F5D3"/>
            <w:noWrap/>
            <w:hideMark/>
          </w:tcPr>
          <w:p w:rsidR="003B773C" w:rsidRPr="003B773C" w:rsidRDefault="003B773C" w:rsidP="003B773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7" w:history="1"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第</w:t>
              </w:r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 xml:space="preserve">    3    </w:t>
              </w:r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條</w:t>
              </w:r>
            </w:hyperlink>
          </w:p>
        </w:tc>
        <w:tc>
          <w:tcPr>
            <w:tcW w:w="4214" w:type="pct"/>
            <w:shd w:val="clear" w:color="auto" w:fill="E8F5D3"/>
            <w:hideMark/>
          </w:tcPr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本辦法所定化學品，優先適用特定化學物質危害預防標準、有機溶劑中毒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預防規則、四烷基鉛中毒預防規則、鉛中毒預防規則及粉塵危害預防標準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之相關設置危害控制設備或</w:t>
            </w:r>
            <w:proofErr w:type="gramStart"/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採</w:t>
            </w:r>
            <w:proofErr w:type="gramEnd"/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行措施之規定。但依前開法規所定方法，仍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未能降低暴露風險者，雇主應依本辦法設置危害控制設備或採取更有效之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 w:val="18"/>
                <w:szCs w:val="18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危害控制或管理措施。</w:t>
            </w:r>
          </w:p>
        </w:tc>
      </w:tr>
      <w:tr w:rsidR="003B773C" w:rsidRPr="003B773C" w:rsidTr="003B773C">
        <w:trPr>
          <w:tblCellSpacing w:w="12" w:type="dxa"/>
          <w:jc w:val="center"/>
        </w:trPr>
        <w:tc>
          <w:tcPr>
            <w:tcW w:w="743" w:type="pct"/>
            <w:shd w:val="clear" w:color="auto" w:fill="E8F5D3"/>
            <w:noWrap/>
            <w:hideMark/>
          </w:tcPr>
          <w:p w:rsidR="003B773C" w:rsidRPr="003B773C" w:rsidRDefault="003B773C" w:rsidP="003B773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8" w:history="1"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第</w:t>
              </w:r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 xml:space="preserve">    4    </w:t>
              </w:r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條</w:t>
              </w:r>
            </w:hyperlink>
          </w:p>
        </w:tc>
        <w:tc>
          <w:tcPr>
            <w:tcW w:w="4214" w:type="pct"/>
            <w:shd w:val="clear" w:color="auto" w:fill="E8F5D3"/>
            <w:hideMark/>
          </w:tcPr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FF0000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color w:val="FF0000"/>
                <w:kern w:val="0"/>
                <w:sz w:val="20"/>
                <w:szCs w:val="20"/>
              </w:rPr>
              <w:t>雇主使勞工製造、處置或使用之化學品，符合國家標準CNS15030化學品分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FF0000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color w:val="FF0000"/>
                <w:kern w:val="0"/>
                <w:sz w:val="20"/>
                <w:szCs w:val="20"/>
              </w:rPr>
              <w:t>類，具有健康危害者，應評估其危害及暴露程度，劃分風險等級，並採取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 w:val="18"/>
                <w:szCs w:val="18"/>
              </w:rPr>
            </w:pPr>
            <w:r w:rsidRPr="003B773C">
              <w:rPr>
                <w:rFonts w:ascii="細明體" w:eastAsia="細明體" w:hAnsi="細明體" w:cs="細明體" w:hint="eastAsia"/>
                <w:color w:val="FF0000"/>
                <w:kern w:val="0"/>
                <w:sz w:val="20"/>
                <w:szCs w:val="20"/>
              </w:rPr>
              <w:t>對應之分級管理措施</w:t>
            </w: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3B773C" w:rsidRPr="003B773C" w:rsidTr="003B773C">
        <w:trPr>
          <w:tblCellSpacing w:w="12" w:type="dxa"/>
          <w:jc w:val="center"/>
        </w:trPr>
        <w:tc>
          <w:tcPr>
            <w:tcW w:w="743" w:type="pct"/>
            <w:shd w:val="clear" w:color="auto" w:fill="E8F5D3"/>
            <w:noWrap/>
            <w:hideMark/>
          </w:tcPr>
          <w:p w:rsidR="003B773C" w:rsidRPr="003B773C" w:rsidRDefault="003B773C" w:rsidP="003B773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9" w:history="1"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第</w:t>
              </w:r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 xml:space="preserve">    5    </w:t>
              </w:r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條</w:t>
              </w:r>
            </w:hyperlink>
          </w:p>
        </w:tc>
        <w:tc>
          <w:tcPr>
            <w:tcW w:w="4214" w:type="pct"/>
            <w:shd w:val="clear" w:color="auto" w:fill="E8F5D3"/>
            <w:hideMark/>
          </w:tcPr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下列情形不適用本辦法：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一、製造、處置或使用下列物品者：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（一）有害事業</w:t>
            </w:r>
            <w:bookmarkStart w:id="0" w:name="_GoBack"/>
            <w:bookmarkEnd w:id="0"/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廢棄物。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（二）菸草或菸草製品。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（三）食品、飲料、藥物、化</w:t>
            </w:r>
            <w:proofErr w:type="gramStart"/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粧</w:t>
            </w:r>
            <w:proofErr w:type="gramEnd"/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品。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（四）製成品。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（五）非工業用途之一般民生消費商品。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（六）滅火器。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（七）在反應槽或製程中正進行化學反應之中間產物。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二、化學品僅作為貯存用途且勞工不致有暴露危害之虞者。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 w:val="18"/>
                <w:szCs w:val="18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三、其他經中央主管機關指定者。</w:t>
            </w:r>
          </w:p>
        </w:tc>
      </w:tr>
      <w:tr w:rsidR="003B773C" w:rsidRPr="003B773C" w:rsidTr="003B773C">
        <w:trPr>
          <w:tblCellSpacing w:w="12" w:type="dxa"/>
          <w:jc w:val="center"/>
        </w:trPr>
        <w:tc>
          <w:tcPr>
            <w:tcW w:w="743" w:type="pct"/>
            <w:shd w:val="clear" w:color="auto" w:fill="E8F5D3"/>
            <w:noWrap/>
            <w:hideMark/>
          </w:tcPr>
          <w:p w:rsidR="003B773C" w:rsidRPr="003B773C" w:rsidRDefault="003B773C" w:rsidP="003B773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0" w:history="1"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第</w:t>
              </w:r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 xml:space="preserve">    6    </w:t>
              </w:r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條</w:t>
              </w:r>
            </w:hyperlink>
          </w:p>
        </w:tc>
        <w:tc>
          <w:tcPr>
            <w:tcW w:w="4214" w:type="pct"/>
            <w:shd w:val="clear" w:color="auto" w:fill="E8F5D3"/>
            <w:hideMark/>
          </w:tcPr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第四條之評估及分級管理，雇主應至少每三年執行一次，因化學品之種類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、操作程序或製程條件變更，而有增加暴露風險之虞者，應於變更前或變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 w:val="18"/>
                <w:szCs w:val="18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更後三</w:t>
            </w:r>
            <w:proofErr w:type="gramStart"/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個</w:t>
            </w:r>
            <w:proofErr w:type="gramEnd"/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月內，重新進行評估與分級。</w:t>
            </w:r>
          </w:p>
        </w:tc>
      </w:tr>
      <w:tr w:rsidR="003B773C" w:rsidRPr="003B773C" w:rsidTr="003B773C">
        <w:trPr>
          <w:tblCellSpacing w:w="12" w:type="dxa"/>
          <w:jc w:val="center"/>
        </w:trPr>
        <w:tc>
          <w:tcPr>
            <w:tcW w:w="743" w:type="pct"/>
            <w:shd w:val="clear" w:color="auto" w:fill="E8F5D3"/>
            <w:noWrap/>
            <w:hideMark/>
          </w:tcPr>
          <w:p w:rsidR="003B773C" w:rsidRPr="003B773C" w:rsidRDefault="003B773C" w:rsidP="003B773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1" w:history="1"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第</w:t>
              </w:r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 xml:space="preserve">    7    </w:t>
              </w:r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條</w:t>
              </w:r>
            </w:hyperlink>
          </w:p>
        </w:tc>
        <w:tc>
          <w:tcPr>
            <w:tcW w:w="4214" w:type="pct"/>
            <w:shd w:val="clear" w:color="auto" w:fill="E8F5D3"/>
            <w:hideMark/>
          </w:tcPr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FF0000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color w:val="FF0000"/>
                <w:kern w:val="0"/>
                <w:sz w:val="20"/>
                <w:szCs w:val="20"/>
              </w:rPr>
              <w:t>雇主辦理前條之評估及分級管理，應參照中央主管機關公告之技術指引，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 w:val="18"/>
                <w:szCs w:val="18"/>
              </w:rPr>
            </w:pPr>
            <w:r w:rsidRPr="003B773C">
              <w:rPr>
                <w:rFonts w:ascii="細明體" w:eastAsia="細明體" w:hAnsi="細明體" w:cs="細明體" w:hint="eastAsia"/>
                <w:color w:val="FF0000"/>
                <w:kern w:val="0"/>
                <w:sz w:val="20"/>
                <w:szCs w:val="20"/>
              </w:rPr>
              <w:t>或採取其他具同等科學基礎之評估及管理方法辦理</w:t>
            </w: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3B773C" w:rsidRPr="003B773C" w:rsidTr="003B773C">
        <w:trPr>
          <w:tblCellSpacing w:w="12" w:type="dxa"/>
          <w:jc w:val="center"/>
        </w:trPr>
        <w:tc>
          <w:tcPr>
            <w:tcW w:w="743" w:type="pct"/>
            <w:shd w:val="clear" w:color="auto" w:fill="E8F5D3"/>
            <w:noWrap/>
            <w:hideMark/>
          </w:tcPr>
          <w:p w:rsidR="003B773C" w:rsidRPr="003B773C" w:rsidRDefault="003B773C" w:rsidP="003B773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2" w:history="1"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第</w:t>
              </w:r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 xml:space="preserve">    8    </w:t>
              </w:r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條</w:t>
              </w:r>
            </w:hyperlink>
          </w:p>
        </w:tc>
        <w:tc>
          <w:tcPr>
            <w:tcW w:w="4214" w:type="pct"/>
            <w:shd w:val="clear" w:color="auto" w:fill="E8F5D3"/>
            <w:hideMark/>
          </w:tcPr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中央主管機關對於第四條之化學品，定有容許暴露標準，而事業單位從事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特別危害健康作業之勞工人數在一百人以上，或總勞工人數五百人以上者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，雇主應依有科學根據之</w:t>
            </w:r>
            <w:proofErr w:type="gramStart"/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之採</w:t>
            </w:r>
            <w:proofErr w:type="gramEnd"/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樣分析方法或運用定量推估模式，實施暴露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lastRenderedPageBreak/>
              <w:t>評估。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雇主應就前項暴露評估結果，依下列規定，定期實施評估：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一、暴露濃度低於容許暴露標準二分之一之者，至少每三年評估一次。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二、暴露濃度低於容許暴露標準但高於或等於其二分之一者，至少每年評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 xml:space="preserve">    </w:t>
            </w:r>
            <w:proofErr w:type="gramStart"/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估</w:t>
            </w:r>
            <w:proofErr w:type="gramEnd"/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一次。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三、暴露濃度高於或等於容許暴露標準者，至少每三</w:t>
            </w:r>
            <w:proofErr w:type="gramStart"/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個</w:t>
            </w:r>
            <w:proofErr w:type="gramEnd"/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月評估一次。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游離輻射作業不適用前二項規定。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化學品之種類、操作程序或製程條件變更，有增加暴露風險之虞者，應於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 w:val="18"/>
                <w:szCs w:val="18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變更前或變更後三</w:t>
            </w:r>
            <w:proofErr w:type="gramStart"/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個</w:t>
            </w:r>
            <w:proofErr w:type="gramEnd"/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月內，重新實施暴露評估。</w:t>
            </w:r>
          </w:p>
        </w:tc>
      </w:tr>
      <w:tr w:rsidR="003B773C" w:rsidRPr="003B773C" w:rsidTr="003B773C">
        <w:trPr>
          <w:tblCellSpacing w:w="12" w:type="dxa"/>
          <w:jc w:val="center"/>
        </w:trPr>
        <w:tc>
          <w:tcPr>
            <w:tcW w:w="743" w:type="pct"/>
            <w:shd w:val="clear" w:color="auto" w:fill="E8F5D3"/>
            <w:noWrap/>
            <w:hideMark/>
          </w:tcPr>
          <w:p w:rsidR="003B773C" w:rsidRPr="003B773C" w:rsidRDefault="003B773C" w:rsidP="003B773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3" w:history="1"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第</w:t>
              </w:r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 xml:space="preserve">    9    </w:t>
              </w:r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條</w:t>
              </w:r>
            </w:hyperlink>
          </w:p>
        </w:tc>
        <w:tc>
          <w:tcPr>
            <w:tcW w:w="4214" w:type="pct"/>
            <w:shd w:val="clear" w:color="auto" w:fill="E8F5D3"/>
            <w:hideMark/>
          </w:tcPr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雇主應依勞工作業環境監測實施辦法所定之監測及期程，實施前條化學品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之暴露評估，必要時並得輔以其他半定量、定量之評估模式或工具實施之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 w:val="18"/>
                <w:szCs w:val="18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3B773C" w:rsidRPr="003B773C" w:rsidTr="003B773C">
        <w:trPr>
          <w:tblCellSpacing w:w="12" w:type="dxa"/>
          <w:jc w:val="center"/>
        </w:trPr>
        <w:tc>
          <w:tcPr>
            <w:tcW w:w="743" w:type="pct"/>
            <w:shd w:val="clear" w:color="auto" w:fill="E8F5D3"/>
            <w:noWrap/>
            <w:hideMark/>
          </w:tcPr>
          <w:p w:rsidR="003B773C" w:rsidRPr="003B773C" w:rsidRDefault="003B773C" w:rsidP="003B773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4" w:history="1"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第</w:t>
              </w:r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 xml:space="preserve">   10    </w:t>
              </w:r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條</w:t>
              </w:r>
            </w:hyperlink>
          </w:p>
        </w:tc>
        <w:tc>
          <w:tcPr>
            <w:tcW w:w="4214" w:type="pct"/>
            <w:shd w:val="clear" w:color="auto" w:fill="E8F5D3"/>
            <w:hideMark/>
          </w:tcPr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雇主對於前二條化學品之暴露評估結果，應依下列風險等級，分別採取控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制或管理措施：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一、第一級管理：暴露濃度低於容許暴露標準二分之一者，除應持續維持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 xml:space="preserve">    原有之控制或管理措施外，製程或作業內容變更時，並</w:t>
            </w:r>
            <w:proofErr w:type="gramStart"/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採</w:t>
            </w:r>
            <w:proofErr w:type="gramEnd"/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行適當之變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 xml:space="preserve">    更管理措施。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二、第二級管理：暴露濃度低於容許暴露標準但高於或等於其二分之一者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 xml:space="preserve">    ，應就製程設備、作業程序或作業方法實施檢點，採取必要之改善</w:t>
            </w:r>
            <w:proofErr w:type="gramStart"/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措</w:t>
            </w:r>
            <w:proofErr w:type="gramEnd"/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 xml:space="preserve">    施。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三、第三級管理：暴露濃度高於或等於容許暴露標準者，應即採取有效控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 xml:space="preserve">    制措施，並於完成改善後重新評估，確保暴露濃度低於容許暴露標準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 w:val="18"/>
                <w:szCs w:val="18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 xml:space="preserve">    。</w:t>
            </w:r>
          </w:p>
        </w:tc>
      </w:tr>
      <w:tr w:rsidR="003B773C" w:rsidRPr="003B773C" w:rsidTr="003B773C">
        <w:trPr>
          <w:tblCellSpacing w:w="12" w:type="dxa"/>
          <w:jc w:val="center"/>
        </w:trPr>
        <w:tc>
          <w:tcPr>
            <w:tcW w:w="743" w:type="pct"/>
            <w:shd w:val="clear" w:color="auto" w:fill="E8F5D3"/>
            <w:noWrap/>
            <w:hideMark/>
          </w:tcPr>
          <w:p w:rsidR="003B773C" w:rsidRPr="003B773C" w:rsidRDefault="003B773C" w:rsidP="003B773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5" w:history="1"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第</w:t>
              </w:r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 xml:space="preserve">   11    </w:t>
              </w:r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條</w:t>
              </w:r>
            </w:hyperlink>
          </w:p>
        </w:tc>
        <w:tc>
          <w:tcPr>
            <w:tcW w:w="4214" w:type="pct"/>
            <w:shd w:val="clear" w:color="auto" w:fill="E8F5D3"/>
            <w:hideMark/>
          </w:tcPr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雇主依本辦法採取之評估方法及分級管理措施，應作成紀錄留存備查，至</w:t>
            </w:r>
          </w:p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 w:val="18"/>
                <w:szCs w:val="18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少保存三年。</w:t>
            </w:r>
          </w:p>
        </w:tc>
      </w:tr>
      <w:tr w:rsidR="003B773C" w:rsidRPr="003B773C" w:rsidTr="003B773C">
        <w:trPr>
          <w:tblCellSpacing w:w="12" w:type="dxa"/>
          <w:jc w:val="center"/>
        </w:trPr>
        <w:tc>
          <w:tcPr>
            <w:tcW w:w="743" w:type="pct"/>
            <w:shd w:val="clear" w:color="auto" w:fill="E8F5D3"/>
            <w:noWrap/>
            <w:hideMark/>
          </w:tcPr>
          <w:p w:rsidR="003B773C" w:rsidRPr="003B773C" w:rsidRDefault="003B773C" w:rsidP="003B773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hyperlink r:id="rId16" w:history="1"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第</w:t>
              </w:r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 xml:space="preserve">   12    </w:t>
              </w:r>
              <w:r w:rsidRPr="003B773C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szCs w:val="20"/>
                  <w:u w:val="single"/>
                </w:rPr>
                <w:t>條</w:t>
              </w:r>
            </w:hyperlink>
          </w:p>
        </w:tc>
        <w:tc>
          <w:tcPr>
            <w:tcW w:w="4214" w:type="pct"/>
            <w:shd w:val="clear" w:color="auto" w:fill="E8F5D3"/>
            <w:hideMark/>
          </w:tcPr>
          <w:p w:rsidR="003B773C" w:rsidRPr="003B773C" w:rsidRDefault="003B773C" w:rsidP="003B773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 w:val="18"/>
                <w:szCs w:val="18"/>
              </w:rPr>
            </w:pPr>
            <w:r w:rsidRPr="003B773C">
              <w:rPr>
                <w:rFonts w:ascii="細明體" w:eastAsia="細明體" w:hAnsi="細明體" w:cs="細明體" w:hint="eastAsia"/>
                <w:kern w:val="0"/>
                <w:sz w:val="20"/>
                <w:szCs w:val="20"/>
              </w:rPr>
              <w:t>本辦法自中華民國一百零四年一月一日施行。</w:t>
            </w:r>
          </w:p>
        </w:tc>
      </w:tr>
    </w:tbl>
    <w:p w:rsidR="0085242E" w:rsidRPr="003B773C" w:rsidRDefault="0085242E"/>
    <w:sectPr w:rsidR="0085242E" w:rsidRPr="003B77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3C"/>
    <w:rsid w:val="003B773C"/>
    <w:rsid w:val="0085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s.mol.gov.tw/Chi/FLAW/FLAWDOC01.asp?lsid=FL075605&amp;lno=4" TargetMode="External"/><Relationship Id="rId13" Type="http://schemas.openxmlformats.org/officeDocument/2006/relationships/hyperlink" Target="http://laws.mol.gov.tw/Chi/FLAW/FLAWDOC01.asp?lsid=FL075605&amp;lno=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ws.mol.gov.tw/Chi/FLAW/FLAWDOC01.asp?lsid=FL075605&amp;lno=3" TargetMode="External"/><Relationship Id="rId12" Type="http://schemas.openxmlformats.org/officeDocument/2006/relationships/hyperlink" Target="http://laws.mol.gov.tw/Chi/FLAW/FLAWDOC01.asp?lsid=FL075605&amp;lno=8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laws.mol.gov.tw/Chi/FLAW/FLAWDOC01.asp?lsid=FL075605&amp;lno=12" TargetMode="External"/><Relationship Id="rId1" Type="http://schemas.openxmlformats.org/officeDocument/2006/relationships/styles" Target="styles.xml"/><Relationship Id="rId6" Type="http://schemas.openxmlformats.org/officeDocument/2006/relationships/hyperlink" Target="http://laws.mol.gov.tw/Chi/FLAW/FLAWDOC01.asp?lsid=FL075605&amp;lno=2" TargetMode="External"/><Relationship Id="rId11" Type="http://schemas.openxmlformats.org/officeDocument/2006/relationships/hyperlink" Target="http://laws.mol.gov.tw/Chi/FLAW/FLAWDOC01.asp?lsid=FL075605&amp;lno=7" TargetMode="External"/><Relationship Id="rId5" Type="http://schemas.openxmlformats.org/officeDocument/2006/relationships/hyperlink" Target="http://laws.mol.gov.tw/Chi/FLAW/FLAWDOC01.asp?lsid=FL075605&amp;lno=1" TargetMode="External"/><Relationship Id="rId15" Type="http://schemas.openxmlformats.org/officeDocument/2006/relationships/hyperlink" Target="http://laws.mol.gov.tw/Chi/FLAW/FLAWDOC01.asp?lsid=FL075605&amp;lno=11" TargetMode="External"/><Relationship Id="rId10" Type="http://schemas.openxmlformats.org/officeDocument/2006/relationships/hyperlink" Target="http://laws.mol.gov.tw/Chi/FLAW/FLAWDOC01.asp?lsid=FL075605&amp;lno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ws.mol.gov.tw/Chi/FLAW/FLAWDOC01.asp?lsid=FL075605&amp;lno=5" TargetMode="External"/><Relationship Id="rId14" Type="http://schemas.openxmlformats.org/officeDocument/2006/relationships/hyperlink" Target="http://laws.mol.gov.tw/Chi/FLAW/FLAWDOC01.asp?lsid=FL075605&amp;lno=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</dc:creator>
  <cp:lastModifiedBy>willian</cp:lastModifiedBy>
  <cp:revision>1</cp:revision>
  <dcterms:created xsi:type="dcterms:W3CDTF">2015-07-06T02:42:00Z</dcterms:created>
  <dcterms:modified xsi:type="dcterms:W3CDTF">2015-07-06T02:43:00Z</dcterms:modified>
</cp:coreProperties>
</file>